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6B963">
      <w:pPr>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w:t>
      </w:r>
      <w:r>
        <w:rPr>
          <w:rFonts w:ascii="方正黑体_GBK" w:hAnsi="方正黑体_GBK" w:eastAsia="方正黑体_GBK" w:cs="方正黑体_GBK"/>
          <w:sz w:val="32"/>
          <w:szCs w:val="32"/>
        </w:rPr>
        <w:t>1</w:t>
      </w:r>
    </w:p>
    <w:p w14:paraId="34A2DD2A">
      <w:pPr>
        <w:spacing w:line="600" w:lineRule="exact"/>
        <w:rPr>
          <w:rFonts w:hint="eastAsia" w:asciiTheme="minorEastAsia" w:hAnsiTheme="minorEastAsia"/>
          <w:sz w:val="32"/>
          <w:szCs w:val="32"/>
        </w:rPr>
      </w:pPr>
    </w:p>
    <w:p w14:paraId="670B51B2">
      <w:pPr>
        <w:spacing w:line="600" w:lineRule="exact"/>
        <w:jc w:val="center"/>
        <w:rPr>
          <w:rFonts w:hint="eastAsia" w:ascii="方正小标宋_GBK" w:hAnsi="方正小标宋_GBK" w:eastAsia="方正小标宋_GBK" w:cs="方正小标宋_GBK"/>
          <w:b/>
          <w:spacing w:val="-20"/>
          <w:sz w:val="44"/>
          <w:szCs w:val="44"/>
        </w:rPr>
      </w:pPr>
      <w:r>
        <w:rPr>
          <w:rFonts w:hint="eastAsia" w:ascii="方正小标宋_GBK" w:hAnsi="方正小标宋_GBK" w:eastAsia="方正小标宋_GBK" w:cs="方正小标宋_GBK"/>
          <w:sz w:val="44"/>
          <w:szCs w:val="44"/>
        </w:rPr>
        <w:t>重庆市终身教育特色品牌项目推介指南</w:t>
      </w:r>
    </w:p>
    <w:p w14:paraId="384A17C5">
      <w:pPr>
        <w:spacing w:line="600" w:lineRule="exact"/>
        <w:ind w:firstLine="640" w:firstLineChars="200"/>
        <w:rPr>
          <w:rFonts w:ascii="方正仿宋_GBK" w:eastAsia="方正仿宋_GBK"/>
          <w:sz w:val="32"/>
          <w:szCs w:val="32"/>
        </w:rPr>
      </w:pPr>
    </w:p>
    <w:p w14:paraId="0D7EAEF2">
      <w:pPr>
        <w:spacing w:line="600" w:lineRule="exact"/>
        <w:ind w:firstLine="640" w:firstLineChars="200"/>
        <w:rPr>
          <w:rFonts w:ascii="方正仿宋_GBK" w:eastAsia="方正仿宋_GBK"/>
          <w:sz w:val="32"/>
          <w:szCs w:val="32"/>
        </w:rPr>
      </w:pPr>
      <w:r>
        <w:rPr>
          <w:rFonts w:hint="eastAsia" w:ascii="方正仿宋_GBK" w:eastAsia="方正仿宋_GBK"/>
          <w:sz w:val="32"/>
          <w:szCs w:val="32"/>
        </w:rPr>
        <w:t>为做好市级终身教育特色品牌项目建设与推介工作，充分发挥品牌在终身教育现代化高质量发展中的示范引领和辐射带动作用，特制定本项目建设申报指南。</w:t>
      </w:r>
    </w:p>
    <w:p w14:paraId="500A2D3D">
      <w:pPr>
        <w:spacing w:line="600" w:lineRule="exact"/>
        <w:ind w:firstLine="643" w:firstLineChars="200"/>
        <w:rPr>
          <w:rFonts w:ascii="方正仿宋_GBK" w:eastAsia="方正仿宋_GBK"/>
          <w:sz w:val="32"/>
          <w:szCs w:val="32"/>
        </w:rPr>
      </w:pPr>
      <w:r>
        <w:rPr>
          <w:rFonts w:hint="eastAsia" w:ascii="方正仿宋_GBK" w:eastAsia="方正仿宋_GBK"/>
          <w:b/>
          <w:bCs/>
          <w:sz w:val="32"/>
          <w:szCs w:val="32"/>
        </w:rPr>
        <w:t>1</w:t>
      </w:r>
      <w:r>
        <w:rPr>
          <w:rFonts w:ascii="方正仿宋_GBK" w:eastAsia="方正仿宋_GBK"/>
          <w:b/>
          <w:bCs/>
          <w:sz w:val="32"/>
          <w:szCs w:val="32"/>
        </w:rPr>
        <w:t>.</w:t>
      </w:r>
      <w:r>
        <w:rPr>
          <w:rFonts w:hint="eastAsia" w:ascii="方正仿宋_GBK" w:eastAsia="方正仿宋_GBK"/>
          <w:b/>
          <w:bCs/>
          <w:sz w:val="32"/>
          <w:szCs w:val="32"/>
        </w:rPr>
        <w:t>项目定位：</w:t>
      </w:r>
      <w:r>
        <w:rPr>
          <w:rFonts w:hint="eastAsia" w:ascii="方正仿宋_GBK" w:eastAsia="方正仿宋_GBK"/>
          <w:sz w:val="32"/>
          <w:szCs w:val="32"/>
        </w:rPr>
        <w:t>终身教育特色品牌是在重庆终身教育现代化与高质量发展的总体要求下，以“创新、协调、绿色、开放、共享”的新发展理念为指引，以服务全民终身学习为宗旨，以满足村（居）民、企业职工、青少年、老年人等群体的学习需求为出发点，有针对性建设的、具有重庆辨识度的项目。应通过品牌项目的创建及进社区、进学校、进企业、进家庭、进商圈等，提升我市终身教育的品质与服务能力，引领广大群众参与终身学习，助推重庆经济社会发展。</w:t>
      </w:r>
    </w:p>
    <w:p w14:paraId="31766743">
      <w:pPr>
        <w:spacing w:line="600" w:lineRule="exact"/>
        <w:ind w:firstLine="643" w:firstLineChars="200"/>
        <w:rPr>
          <w:rFonts w:ascii="方正仿宋_GBK" w:eastAsia="方正仿宋_GBK"/>
          <w:b/>
          <w:bCs/>
          <w:sz w:val="32"/>
          <w:szCs w:val="32"/>
        </w:rPr>
      </w:pPr>
      <w:r>
        <w:rPr>
          <w:rFonts w:hint="eastAsia" w:ascii="方正仿宋_GBK" w:eastAsia="方正仿宋_GBK"/>
          <w:b/>
          <w:bCs/>
          <w:sz w:val="32"/>
          <w:szCs w:val="32"/>
        </w:rPr>
        <w:t>2</w:t>
      </w:r>
      <w:r>
        <w:rPr>
          <w:rFonts w:ascii="方正仿宋_GBK" w:eastAsia="方正仿宋_GBK"/>
          <w:b/>
          <w:bCs/>
          <w:sz w:val="32"/>
          <w:szCs w:val="32"/>
        </w:rPr>
        <w:t>.</w:t>
      </w:r>
      <w:r>
        <w:rPr>
          <w:rFonts w:hint="eastAsia" w:ascii="方正仿宋_GBK" w:eastAsia="方正仿宋_GBK"/>
          <w:b/>
          <w:bCs/>
          <w:sz w:val="32"/>
          <w:szCs w:val="32"/>
        </w:rPr>
        <w:t>申报要求：</w:t>
      </w:r>
      <w:r>
        <w:rPr>
          <w:rFonts w:hint="eastAsia" w:ascii="方正仿宋_GBK" w:eastAsia="方正仿宋_GBK"/>
          <w:sz w:val="32"/>
          <w:szCs w:val="32"/>
        </w:rPr>
        <w:t>《</w:t>
      </w:r>
      <w:r>
        <w:rPr>
          <w:rFonts w:hint="eastAsia" w:ascii="方正仿宋_GBK" w:hAnsi="方正仿宋_GBK" w:eastAsia="方正仿宋_GBK" w:cs="方正仿宋_GBK"/>
          <w:sz w:val="32"/>
          <w:szCs w:val="32"/>
        </w:rPr>
        <w:t>重庆市终身教育特色品牌项目推介申报表</w:t>
      </w:r>
      <w:r>
        <w:rPr>
          <w:rFonts w:hint="eastAsia" w:ascii="方正仿宋_GBK" w:eastAsia="方正仿宋_GBK"/>
          <w:sz w:val="32"/>
          <w:szCs w:val="32"/>
        </w:rPr>
        <w:t>》是项目遴选的主要依据。申报单位须认真领会申报表每个栏目的填写内涵和要求，对照遴选标准，真实准确填写并提供相应佐证材料。单独或联合申报单位都须写明对品牌建设做出的实际贡献和承担的建设任务。</w:t>
      </w:r>
      <w:r>
        <w:rPr>
          <w:rFonts w:hint="eastAsia" w:ascii="方正仿宋_GBK" w:hAnsi="方正仿宋_GBK" w:eastAsia="方正仿宋_GBK" w:cs="方正仿宋_GBK"/>
          <w:sz w:val="32"/>
          <w:szCs w:val="32"/>
        </w:rPr>
        <w:t>联合申报单位最多不超过</w:t>
      </w:r>
      <w:r>
        <w:rPr>
          <w:rFonts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个（含主申报单位），杜绝挂名申报。</w:t>
      </w:r>
    </w:p>
    <w:p w14:paraId="2664309C">
      <w:pPr>
        <w:spacing w:line="600" w:lineRule="exact"/>
        <w:ind w:firstLine="643" w:firstLineChars="200"/>
        <w:rPr>
          <w:rFonts w:ascii="方正仿宋_GBK" w:eastAsia="方正仿宋_GBK"/>
          <w:sz w:val="32"/>
          <w:szCs w:val="32"/>
        </w:rPr>
      </w:pPr>
      <w:r>
        <w:rPr>
          <w:rFonts w:hint="eastAsia" w:ascii="方正仿宋_GBK" w:eastAsia="方正仿宋_GBK"/>
          <w:b/>
          <w:bCs/>
          <w:sz w:val="32"/>
          <w:szCs w:val="32"/>
        </w:rPr>
        <w:t>3.推荐要求：</w:t>
      </w:r>
      <w:r>
        <w:rPr>
          <w:rFonts w:hint="eastAsia" w:ascii="方正仿宋_GBK" w:eastAsia="方正仿宋_GBK"/>
          <w:bCs/>
          <w:sz w:val="32"/>
          <w:szCs w:val="32"/>
        </w:rPr>
        <w:t>各区县教育行政部门须根据</w:t>
      </w:r>
      <w:r>
        <w:rPr>
          <w:rFonts w:hint="eastAsia" w:ascii="方正仿宋_GBK" w:eastAsia="方正仿宋_GBK"/>
          <w:sz w:val="32"/>
          <w:szCs w:val="32"/>
        </w:rPr>
        <w:t>申报推介指南和申报表填写的内容和要求，出具具体推荐意见，并明确支持措施。</w:t>
      </w:r>
    </w:p>
    <w:p w14:paraId="6CA99E25">
      <w:pPr>
        <w:spacing w:line="600" w:lineRule="exact"/>
        <w:ind w:firstLine="643" w:firstLineChars="200"/>
        <w:rPr>
          <w:rFonts w:ascii="方正仿宋_GBK" w:eastAsia="方正仿宋_GBK"/>
          <w:bCs/>
          <w:sz w:val="32"/>
          <w:szCs w:val="32"/>
        </w:rPr>
      </w:pPr>
      <w:r>
        <w:rPr>
          <w:rFonts w:hint="eastAsia" w:ascii="方正仿宋_GBK" w:eastAsia="方正仿宋_GBK"/>
          <w:b/>
          <w:bCs/>
          <w:sz w:val="32"/>
          <w:szCs w:val="32"/>
        </w:rPr>
        <w:t>4</w:t>
      </w:r>
      <w:r>
        <w:rPr>
          <w:rFonts w:ascii="方正仿宋_GBK" w:eastAsia="方正仿宋_GBK"/>
          <w:b/>
          <w:bCs/>
          <w:sz w:val="32"/>
          <w:szCs w:val="32"/>
        </w:rPr>
        <w:t>.</w:t>
      </w:r>
      <w:r>
        <w:rPr>
          <w:rFonts w:hint="eastAsia" w:ascii="方正仿宋_GBK" w:eastAsia="方正仿宋_GBK"/>
          <w:b/>
          <w:bCs/>
          <w:sz w:val="32"/>
          <w:szCs w:val="32"/>
        </w:rPr>
        <w:t>评审要求：</w:t>
      </w:r>
      <w:r>
        <w:rPr>
          <w:rFonts w:hint="eastAsia" w:ascii="方正仿宋_GBK" w:eastAsia="方正仿宋_GBK"/>
          <w:bCs/>
          <w:sz w:val="32"/>
          <w:szCs w:val="32"/>
        </w:rPr>
        <w:t>市教委组织专家严格按照文件要求、推介指南、评分标准，坚持客观公正的原则，对特色创新亮点进行记录，提出完善建设方案的意见和建议，对不予立项的项目写明原因，专家意见存档备查，确保评审质量。</w:t>
      </w:r>
    </w:p>
    <w:p w14:paraId="4224EA9A">
      <w:pPr>
        <w:spacing w:line="600" w:lineRule="exact"/>
        <w:ind w:firstLine="643" w:firstLineChars="200"/>
        <w:rPr>
          <w:rFonts w:hint="eastAsia" w:ascii="方正仿宋_GBK" w:hAnsi="方正仿宋_GBK" w:eastAsia="方正仿宋_GBK" w:cs="方正仿宋_GBK"/>
          <w:sz w:val="32"/>
          <w:szCs w:val="32"/>
        </w:rPr>
      </w:pPr>
      <w:r>
        <w:rPr>
          <w:rFonts w:ascii="方正仿宋_GBK" w:eastAsia="方正仿宋_GBK"/>
          <w:b/>
          <w:sz w:val="32"/>
          <w:szCs w:val="32"/>
        </w:rPr>
        <w:t>5.</w:t>
      </w:r>
      <w:r>
        <w:rPr>
          <w:rFonts w:hint="eastAsia" w:ascii="方正仿宋_GBK" w:eastAsia="方正仿宋_GBK"/>
          <w:b/>
          <w:sz w:val="32"/>
          <w:szCs w:val="32"/>
        </w:rPr>
        <w:t>建设要求</w:t>
      </w:r>
      <w:r>
        <w:rPr>
          <w:rFonts w:hint="eastAsia" w:ascii="方正仿宋_GBK" w:eastAsia="方正仿宋_GBK"/>
          <w:sz w:val="32"/>
          <w:szCs w:val="32"/>
        </w:rPr>
        <w:t>：</w:t>
      </w:r>
      <w:r>
        <w:rPr>
          <w:rFonts w:hint="eastAsia" w:ascii="方正仿宋_GBK" w:hAnsi="方正仿宋_GBK" w:eastAsia="方正仿宋_GBK" w:cs="方正仿宋_GBK"/>
          <w:sz w:val="32"/>
          <w:szCs w:val="32"/>
        </w:rPr>
        <w:t>项目建设周期自立项之日起</w:t>
      </w:r>
      <w:r>
        <w:rPr>
          <w:rFonts w:ascii="方正仿宋_GBK" w:hAnsi="方正仿宋_GBK" w:eastAsia="方正仿宋_GBK" w:cs="方正仿宋_GBK"/>
          <w:sz w:val="32"/>
          <w:szCs w:val="32"/>
        </w:rPr>
        <w:t>1</w:t>
      </w:r>
      <w:r>
        <w:rPr>
          <w:rFonts w:hint="eastAsia" w:ascii="方正仿宋_GBK" w:hAnsi="方正仿宋_GBK" w:eastAsia="方正仿宋_GBK" w:cs="方正仿宋_GBK"/>
          <w:sz w:val="32"/>
          <w:szCs w:val="32"/>
        </w:rPr>
        <w:t>年内完成建设任务，建设目标明确、思路清晰、任务具体、措施可行、经费预算科学、进度计划合理、建设成效可评可测。</w:t>
      </w:r>
      <w:r>
        <w:rPr>
          <w:rFonts w:hint="eastAsia" w:ascii="方正仿宋_GBK" w:hAnsi="方正仿宋_GBK" w:eastAsia="方正仿宋_GBK" w:cs="方正仿宋_GBK"/>
          <w:bCs/>
          <w:sz w:val="32"/>
          <w:szCs w:val="32"/>
        </w:rPr>
        <w:t>原则上品牌学习类项目应开发特色课程不少于</w:t>
      </w:r>
      <w:r>
        <w:rPr>
          <w:rFonts w:ascii="Times New Roman" w:hAnsi="Times New Roman" w:eastAsia="方正仿宋_GBK" w:cs="Times New Roman"/>
          <w:bCs/>
          <w:sz w:val="32"/>
          <w:szCs w:val="32"/>
        </w:rPr>
        <w:t>2</w:t>
      </w:r>
      <w:r>
        <w:rPr>
          <w:rFonts w:hint="eastAsia" w:ascii="方正仿宋_GBK" w:hAnsi="方正仿宋_GBK" w:eastAsia="方正仿宋_GBK" w:cs="方正仿宋_GBK"/>
          <w:bCs/>
          <w:sz w:val="32"/>
          <w:szCs w:val="32"/>
        </w:rPr>
        <w:t>门，数字化课程资源不少于</w:t>
      </w:r>
      <w:r>
        <w:rPr>
          <w:rFonts w:ascii="Times New Roman" w:hAnsi="Times New Roman" w:eastAsia="方正仿宋_GBK" w:cs="Times New Roman"/>
          <w:bCs/>
          <w:sz w:val="32"/>
          <w:szCs w:val="32"/>
        </w:rPr>
        <w:t>3</w:t>
      </w:r>
      <w:r>
        <w:rPr>
          <w:rFonts w:hint="eastAsia" w:ascii="Times New Roman" w:hAnsi="Times New Roman" w:eastAsia="方正仿宋_GBK" w:cs="Times New Roman"/>
          <w:bCs/>
          <w:sz w:val="32"/>
          <w:szCs w:val="32"/>
        </w:rPr>
        <w:t>个；品牌工作类项目应完成学习型社区或不少于</w:t>
      </w:r>
      <w:r>
        <w:rPr>
          <w:rFonts w:ascii="Times New Roman" w:hAnsi="Times New Roman" w:eastAsia="方正仿宋_GBK" w:cs="Times New Roman"/>
          <w:bCs/>
          <w:sz w:val="32"/>
          <w:szCs w:val="32"/>
        </w:rPr>
        <w:t>2</w:t>
      </w:r>
      <w:r>
        <w:rPr>
          <w:rFonts w:hint="eastAsia" w:ascii="Times New Roman" w:hAnsi="Times New Roman" w:eastAsia="方正仿宋_GBK" w:cs="Times New Roman"/>
          <w:bCs/>
          <w:sz w:val="32"/>
          <w:szCs w:val="32"/>
        </w:rPr>
        <w:t>个学习型团队创建</w:t>
      </w:r>
      <w:r>
        <w:rPr>
          <w:rFonts w:hint="eastAsia" w:ascii="Times New Roman" w:hAnsi="Times New Roman" w:eastAsia="方正仿宋_GBK" w:cs="Times New Roman"/>
          <w:sz w:val="32"/>
          <w:szCs w:val="32"/>
        </w:rPr>
        <w:t>。参与学习人数每年不少于</w:t>
      </w:r>
      <w:r>
        <w:rPr>
          <w:rFonts w:ascii="Times New Roman" w:hAnsi="Times New Roman" w:eastAsia="方正仿宋_GBK" w:cs="Times New Roman"/>
          <w:sz w:val="32"/>
          <w:szCs w:val="32"/>
        </w:rPr>
        <w:t>4000</w:t>
      </w:r>
      <w:r>
        <w:rPr>
          <w:rFonts w:hint="eastAsia" w:ascii="Times New Roman" w:hAnsi="Times New Roman" w:eastAsia="方正仿宋_GBK" w:cs="Times New Roman"/>
          <w:sz w:val="32"/>
          <w:szCs w:val="32"/>
        </w:rPr>
        <w:t>人次（线下）或</w:t>
      </w:r>
      <w:r>
        <w:rPr>
          <w:rFonts w:ascii="Times New Roman" w:hAnsi="Times New Roman" w:eastAsia="方正仿宋_GBK" w:cs="Times New Roman"/>
          <w:sz w:val="32"/>
          <w:szCs w:val="32"/>
        </w:rPr>
        <w:t>6000</w:t>
      </w:r>
      <w:r>
        <w:rPr>
          <w:rFonts w:hint="eastAsia" w:ascii="Times New Roman" w:hAnsi="Times New Roman" w:eastAsia="方正仿宋_GBK" w:cs="Times New Roman"/>
          <w:sz w:val="32"/>
          <w:szCs w:val="32"/>
        </w:rPr>
        <w:t>人次</w:t>
      </w:r>
      <w:r>
        <w:rPr>
          <w:rFonts w:hint="eastAsia" w:ascii="方正仿宋_GBK" w:hAnsi="方正仿宋_GBK" w:eastAsia="方正仿宋_GBK" w:cs="方正仿宋_GBK"/>
          <w:sz w:val="32"/>
          <w:szCs w:val="32"/>
        </w:rPr>
        <w:t>（线上）。在全国相关会议上交流发言</w:t>
      </w:r>
      <w:r>
        <w:rPr>
          <w:rFonts w:ascii="方正仿宋_GBK" w:hAnsi="方正仿宋_GBK" w:eastAsia="方正仿宋_GBK" w:cs="方正仿宋_GBK"/>
          <w:sz w:val="32"/>
          <w:szCs w:val="32"/>
        </w:rPr>
        <w:t>1</w:t>
      </w:r>
      <w:r>
        <w:rPr>
          <w:rFonts w:hint="eastAsia" w:ascii="方正仿宋_GBK" w:hAnsi="方正仿宋_GBK" w:eastAsia="方正仿宋_GBK" w:cs="方正仿宋_GBK"/>
          <w:sz w:val="32"/>
          <w:szCs w:val="32"/>
        </w:rPr>
        <w:t>次或在市级以上媒体专题宣传推广不少于</w:t>
      </w:r>
      <w:r>
        <w:rPr>
          <w:rFonts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次。</w:t>
      </w:r>
    </w:p>
    <w:p w14:paraId="1D48E4D9">
      <w:pPr>
        <w:spacing w:line="600" w:lineRule="exact"/>
        <w:ind w:firstLine="643" w:firstLineChars="200"/>
        <w:rPr>
          <w:rFonts w:ascii="方正仿宋_GBK" w:eastAsia="方正仿宋_GBK"/>
          <w:sz w:val="32"/>
          <w:szCs w:val="32"/>
        </w:rPr>
      </w:pPr>
      <w:r>
        <w:rPr>
          <w:rFonts w:hint="eastAsia" w:ascii="方正仿宋_GBK" w:eastAsia="方正仿宋_GBK"/>
          <w:b/>
          <w:bCs/>
          <w:sz w:val="32"/>
          <w:szCs w:val="32"/>
        </w:rPr>
        <w:t>6.建设经费：</w:t>
      </w:r>
      <w:r>
        <w:rPr>
          <w:rFonts w:hint="eastAsia" w:ascii="方正仿宋_GBK" w:eastAsia="方正仿宋_GBK"/>
          <w:bCs/>
          <w:sz w:val="32"/>
          <w:szCs w:val="32"/>
        </w:rPr>
        <w:t>对于立项建设的项目</w:t>
      </w:r>
      <w:r>
        <w:rPr>
          <w:rFonts w:hint="eastAsia" w:ascii="方正仿宋_GBK" w:eastAsia="方正仿宋_GBK"/>
          <w:sz w:val="32"/>
          <w:szCs w:val="32"/>
        </w:rPr>
        <w:t>以经费扶持，重点项目按照</w:t>
      </w:r>
      <w:r>
        <w:rPr>
          <w:rFonts w:ascii="方正仿宋_GBK" w:hAnsi="方正仿宋_GBK" w:eastAsia="方正仿宋_GBK" w:cs="方正仿宋_GBK"/>
          <w:sz w:val="32"/>
          <w:szCs w:val="32"/>
        </w:rPr>
        <w:t>1</w:t>
      </w:r>
      <w:r>
        <w:rPr>
          <w:rFonts w:hint="eastAsia" w:ascii="方正仿宋_GBK" w:hAnsi="方正仿宋_GBK" w:eastAsia="方正仿宋_GBK" w:cs="方正仿宋_GBK"/>
          <w:sz w:val="32"/>
          <w:szCs w:val="32"/>
        </w:rPr>
        <w:t>0</w:t>
      </w:r>
      <w:r>
        <w:rPr>
          <w:rFonts w:hint="eastAsia" w:ascii="方正仿宋_GBK" w:eastAsia="方正仿宋_GBK"/>
          <w:sz w:val="32"/>
          <w:szCs w:val="32"/>
        </w:rPr>
        <w:t>万元配套建设经费；一般项目按照</w:t>
      </w:r>
      <w:r>
        <w:rPr>
          <w:rFonts w:ascii="Times New Roman" w:hAnsi="Times New Roman" w:eastAsia="方正仿宋_GBK" w:cs="Times New Roman"/>
          <w:sz w:val="32"/>
          <w:szCs w:val="32"/>
        </w:rPr>
        <w:t>5</w:t>
      </w:r>
      <w:r>
        <w:rPr>
          <w:rFonts w:hint="eastAsia" w:ascii="方正仿宋_GBK" w:eastAsia="方正仿宋_GBK"/>
          <w:sz w:val="32"/>
          <w:szCs w:val="32"/>
        </w:rPr>
        <w:t>万元费配套建设经费，区县教育行政部门应配套相应经费支持，各建设单位应发挥主观能动性，积极争取当地政府、行业企业等多方经费支持，形成多元主体共同建设的格局。</w:t>
      </w:r>
    </w:p>
    <w:p w14:paraId="10801693">
      <w:pPr>
        <w:spacing w:line="600" w:lineRule="exact"/>
        <w:ind w:firstLine="643" w:firstLineChars="200"/>
        <w:rPr>
          <w:rFonts w:ascii="方正仿宋_GBK" w:eastAsia="方正仿宋_GBK"/>
          <w:sz w:val="32"/>
          <w:szCs w:val="32"/>
        </w:rPr>
      </w:pPr>
      <w:r>
        <w:rPr>
          <w:rFonts w:hint="eastAsia" w:ascii="方正仿宋_GBK" w:eastAsia="方正仿宋_GBK"/>
          <w:b/>
          <w:bCs/>
          <w:sz w:val="32"/>
          <w:szCs w:val="32"/>
        </w:rPr>
        <w:t>7</w:t>
      </w:r>
      <w:r>
        <w:rPr>
          <w:rFonts w:ascii="方正仿宋_GBK" w:eastAsia="方正仿宋_GBK"/>
          <w:b/>
          <w:bCs/>
          <w:sz w:val="32"/>
          <w:szCs w:val="32"/>
        </w:rPr>
        <w:t>.</w:t>
      </w:r>
      <w:r>
        <w:rPr>
          <w:rFonts w:hint="eastAsia" w:ascii="方正仿宋_GBK" w:eastAsia="方正仿宋_GBK"/>
          <w:b/>
          <w:bCs/>
          <w:sz w:val="32"/>
          <w:szCs w:val="32"/>
        </w:rPr>
        <w:t>项目管理：</w:t>
      </w:r>
      <w:r>
        <w:rPr>
          <w:rFonts w:hint="eastAsia" w:ascii="方正仿宋_GBK" w:eastAsia="方正仿宋_GBK"/>
          <w:bCs/>
          <w:sz w:val="32"/>
          <w:szCs w:val="32"/>
        </w:rPr>
        <w:t>项目建设单位应</w:t>
      </w:r>
      <w:r>
        <w:rPr>
          <w:rFonts w:hint="eastAsia" w:ascii="方正仿宋_GBK" w:eastAsia="方正仿宋_GBK"/>
          <w:sz w:val="32"/>
          <w:szCs w:val="32"/>
        </w:rPr>
        <w:t>强化目标管理和经费使用监督管理</w:t>
      </w:r>
      <w:r>
        <w:rPr>
          <w:rFonts w:hint="eastAsia" w:ascii="方正仿宋_GBK" w:eastAsia="方正仿宋_GBK"/>
          <w:bCs/>
          <w:sz w:val="32"/>
          <w:szCs w:val="32"/>
        </w:rPr>
        <w:t>，专款专用</w:t>
      </w:r>
      <w:r>
        <w:rPr>
          <w:rFonts w:hint="eastAsia" w:ascii="方正仿宋_GBK" w:eastAsia="方正仿宋_GBK"/>
          <w:sz w:val="32"/>
          <w:szCs w:val="32"/>
        </w:rPr>
        <w:t>、设立专账，</w:t>
      </w:r>
      <w:r>
        <w:rPr>
          <w:rFonts w:hint="eastAsia" w:ascii="方正仿宋_GBK" w:eastAsia="方正仿宋_GBK"/>
          <w:bCs/>
          <w:sz w:val="32"/>
          <w:szCs w:val="32"/>
        </w:rPr>
        <w:t>经费使用应符合相关规定</w:t>
      </w:r>
      <w:r>
        <w:rPr>
          <w:rFonts w:hint="eastAsia" w:ascii="方正仿宋_GBK" w:eastAsia="方正仿宋_GBK"/>
          <w:sz w:val="32"/>
          <w:szCs w:val="32"/>
        </w:rPr>
        <w:t>。</w:t>
      </w:r>
    </w:p>
    <w:p w14:paraId="58413B05">
      <w:pPr>
        <w:spacing w:line="600" w:lineRule="exact"/>
        <w:ind w:firstLine="643" w:firstLineChars="200"/>
        <w:rPr>
          <w:rFonts w:hint="eastAsia" w:cs="方正仿宋_GBK" w:asciiTheme="minorEastAsia" w:hAnsiTheme="minorEastAsia"/>
          <w:sz w:val="32"/>
          <w:szCs w:val="32"/>
        </w:rPr>
        <w:sectPr>
          <w:footerReference r:id="rId3" w:type="default"/>
          <w:footerReference r:id="rId4" w:type="even"/>
          <w:pgSz w:w="11906" w:h="16838"/>
          <w:pgMar w:top="1984" w:right="1446" w:bottom="1644" w:left="1446" w:header="851" w:footer="1247" w:gutter="0"/>
          <w:pgNumType w:fmt="numberInDash"/>
          <w:cols w:space="425" w:num="1"/>
          <w:titlePg/>
          <w:docGrid w:linePitch="600" w:charSpace="22922"/>
        </w:sectPr>
      </w:pPr>
      <w:r>
        <w:rPr>
          <w:rFonts w:hint="eastAsia" w:ascii="方正仿宋_GBK" w:eastAsia="方正仿宋_GBK"/>
          <w:b/>
          <w:bCs/>
          <w:sz w:val="32"/>
          <w:szCs w:val="32"/>
        </w:rPr>
        <w:t>8.</w:t>
      </w:r>
      <w:r>
        <w:rPr>
          <w:rFonts w:hint="eastAsia" w:ascii="方正仿宋_GBK" w:eastAsia="方正仿宋_GBK"/>
          <w:b/>
          <w:sz w:val="32"/>
          <w:szCs w:val="32"/>
        </w:rPr>
        <w:t>项目验收</w:t>
      </w:r>
      <w:r>
        <w:rPr>
          <w:rFonts w:hint="eastAsia" w:ascii="方正仿宋_GBK" w:eastAsia="方正仿宋_GBK"/>
          <w:sz w:val="32"/>
          <w:szCs w:val="32"/>
        </w:rPr>
        <w:t>：项目建设单位完成建设任务即可申请验收，验收主要采取验收书面报告和现场考察相结合的方式进行。验收通过，市教委将授予“重庆市终身教育特色品牌项目”称号，并在全市及以上媒体宣传推介。</w:t>
      </w:r>
      <w:bookmarkStart w:id="0" w:name="_GoBack"/>
      <w:bookmarkEnd w:id="0"/>
    </w:p>
    <w:p w14:paraId="5C6024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panose1 w:val="02000000000000000000"/>
    <w:charset w:val="86"/>
    <w:family w:val="script"/>
    <w:pitch w:val="default"/>
    <w:sig w:usb0="A00002BF" w:usb1="38CF7CFA" w:usb2="00082016" w:usb3="00000000" w:csb0="00040001"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2944635"/>
      <w:docPartObj>
        <w:docPartGallery w:val="autotext"/>
      </w:docPartObj>
    </w:sdtPr>
    <w:sdtEndPr>
      <w:rPr>
        <w:rFonts w:ascii="宋体" w:hAnsi="宋体" w:eastAsia="宋体"/>
        <w:sz w:val="28"/>
      </w:rPr>
    </w:sdtEndPr>
    <w:sdtContent>
      <w:p w14:paraId="4914BE9F">
        <w:pPr>
          <w:pStyle w:val="2"/>
          <w:jc w:val="right"/>
          <w:rPr>
            <w:rFonts w:hint="eastAsia" w:ascii="宋体" w:hAnsi="宋体" w:eastAsia="宋体"/>
            <w:sz w:val="28"/>
          </w:rPr>
        </w:pPr>
        <w:r>
          <w:rPr>
            <w:rFonts w:ascii="宋体" w:hAnsi="宋体" w:eastAsia="宋体"/>
            <w:sz w:val="28"/>
          </w:rPr>
          <w:fldChar w:fldCharType="begin"/>
        </w:r>
        <w:r>
          <w:rPr>
            <w:rFonts w:ascii="宋体" w:hAnsi="宋体" w:eastAsia="宋体"/>
            <w:sz w:val="28"/>
          </w:rPr>
          <w:instrText xml:space="preserve">PAGE   \* MERGEFORMAT</w:instrText>
        </w:r>
        <w:r>
          <w:rPr>
            <w:rFonts w:ascii="宋体" w:hAnsi="宋体" w:eastAsia="宋体"/>
            <w:sz w:val="28"/>
          </w:rPr>
          <w:fldChar w:fldCharType="separate"/>
        </w:r>
        <w:r>
          <w:rPr>
            <w:rFonts w:ascii="宋体" w:hAnsi="宋体" w:eastAsia="宋体"/>
            <w:sz w:val="28"/>
            <w:lang w:val="zh-CN"/>
          </w:rPr>
          <w:t>-</w:t>
        </w:r>
        <w:r>
          <w:rPr>
            <w:rFonts w:ascii="宋体" w:hAnsi="宋体" w:eastAsia="宋体"/>
            <w:sz w:val="28"/>
          </w:rPr>
          <w:t xml:space="preserve"> 5 -</w:t>
        </w:r>
        <w:r>
          <w:rPr>
            <w:rFonts w:ascii="宋体" w:hAnsi="宋体" w:eastAsia="宋体"/>
            <w:sz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9367277"/>
      <w:docPartObj>
        <w:docPartGallery w:val="autotext"/>
      </w:docPartObj>
    </w:sdtPr>
    <w:sdtContent>
      <w:p w14:paraId="733653C6">
        <w:pPr>
          <w:pStyle w:val="2"/>
        </w:pPr>
        <w:r>
          <w:rPr>
            <w:rFonts w:ascii="宋体" w:hAnsi="宋体" w:eastAsia="宋体"/>
            <w:sz w:val="28"/>
          </w:rPr>
          <w:fldChar w:fldCharType="begin"/>
        </w:r>
        <w:r>
          <w:rPr>
            <w:rFonts w:ascii="宋体" w:hAnsi="宋体" w:eastAsia="宋体"/>
            <w:sz w:val="28"/>
          </w:rPr>
          <w:instrText xml:space="preserve">PAGE   \* MERGEFORMAT</w:instrText>
        </w:r>
        <w:r>
          <w:rPr>
            <w:rFonts w:ascii="宋体" w:hAnsi="宋体" w:eastAsia="宋体"/>
            <w:sz w:val="28"/>
          </w:rPr>
          <w:fldChar w:fldCharType="separate"/>
        </w:r>
        <w:r>
          <w:rPr>
            <w:rFonts w:ascii="宋体" w:hAnsi="宋体" w:eastAsia="宋体"/>
            <w:sz w:val="28"/>
            <w:lang w:val="zh-CN"/>
          </w:rPr>
          <w:t>-</w:t>
        </w:r>
        <w:r>
          <w:rPr>
            <w:rFonts w:ascii="宋体" w:hAnsi="宋体" w:eastAsia="宋体"/>
            <w:sz w:val="28"/>
          </w:rPr>
          <w:t xml:space="preserve"> 6 -</w:t>
        </w:r>
        <w:r>
          <w:rPr>
            <w:rFonts w:ascii="宋体" w:hAnsi="宋体" w:eastAsia="宋体"/>
            <w:sz w:val="28"/>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1C4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2024-12-10T01:24:16Z</dcterms:created>
  <dc:creator>Administrator</dc:creator>
  <cp:lastModifiedBy>潇淼</cp:lastModifiedBy>
  <dcterms:modified xsi:type="dcterms:W3CDTF">2024-12-10T01:24:25Z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2FC4938BB02B4F1CB0540AB2710E3943_12</vt:lpwstr>
  </property>
</Properties>
</file>