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F1CEC">
      <w:pPr>
        <w:spacing w:line="360" w:lineRule="auto"/>
        <w:jc w:val="left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附件2</w:t>
      </w:r>
    </w:p>
    <w:p w14:paraId="434565BF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重庆市终身教育特色品牌项目推介评分标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准</w:t>
      </w:r>
    </w:p>
    <w:tbl>
      <w:tblPr>
        <w:tblStyle w:val="4"/>
        <w:tblW w:w="94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7993"/>
      </w:tblGrid>
      <w:tr w14:paraId="32211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413" w:type="dxa"/>
          </w:tcPr>
          <w:p w14:paraId="585D2C53">
            <w:pPr>
              <w:jc w:val="center"/>
              <w:rPr>
                <w:rFonts w:hint="eastAsia" w:ascii="方正黑体_GBK" w:hAnsi="方正仿宋_GBK" w:eastAsia="方正黑体_GBK" w:cs="方正仿宋_GBK"/>
                <w:sz w:val="24"/>
              </w:rPr>
            </w:pPr>
            <w:r>
              <w:rPr>
                <w:rFonts w:hint="eastAsia" w:ascii="方正黑体_GBK" w:hAnsi="方正仿宋_GBK" w:eastAsia="方正黑体_GBK" w:cs="方正仿宋_GBK"/>
                <w:sz w:val="24"/>
              </w:rPr>
              <w:t>评分指标</w:t>
            </w:r>
          </w:p>
        </w:tc>
        <w:tc>
          <w:tcPr>
            <w:tcW w:w="7993" w:type="dxa"/>
          </w:tcPr>
          <w:p w14:paraId="097A4120">
            <w:pPr>
              <w:jc w:val="center"/>
              <w:rPr>
                <w:rFonts w:hint="eastAsia" w:ascii="方正黑体_GBK" w:hAnsi="方正仿宋_GBK" w:eastAsia="方正黑体_GBK" w:cs="方正仿宋_GBK"/>
                <w:sz w:val="24"/>
              </w:rPr>
            </w:pPr>
            <w:r>
              <w:rPr>
                <w:rFonts w:hint="eastAsia" w:ascii="方正黑体_GBK" w:hAnsi="方正仿宋_GBK" w:eastAsia="方正黑体_GBK" w:cs="方正仿宋_GBK"/>
                <w:sz w:val="24"/>
              </w:rPr>
              <w:t>评分标准</w:t>
            </w:r>
          </w:p>
        </w:tc>
      </w:tr>
      <w:tr w14:paraId="6F39F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 w14:paraId="3B232469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独特性</w:t>
            </w:r>
          </w:p>
        </w:tc>
        <w:tc>
          <w:tcPr>
            <w:tcW w:w="7993" w:type="dxa"/>
          </w:tcPr>
          <w:p w14:paraId="4E38AC61">
            <w:pPr>
              <w:spacing w:line="360" w:lineRule="exact"/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定位准确，服务于满足广大群众的学习需求，在课程资源、技能培训、学习活动、载体平台方面具有独特性；或服务于营造社区共同精神家园，在核心价值、和谐文化、传统文化、本土文化方面具有独特性；或服务于提升社区幸福指数，在人口结构、产业环境、生活方式方面具有独特性；或服务于创新社区治理模式，在社区治理、社区服务、社区文明、社区建设方面具有独特性。</w:t>
            </w:r>
          </w:p>
        </w:tc>
      </w:tr>
      <w:tr w14:paraId="64FD2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 w14:paraId="1DA24C3D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优质性</w:t>
            </w:r>
          </w:p>
        </w:tc>
        <w:tc>
          <w:tcPr>
            <w:tcW w:w="7993" w:type="dxa"/>
          </w:tcPr>
          <w:p w14:paraId="76537415">
            <w:pPr>
              <w:numPr>
                <w:ilvl w:val="0"/>
                <w:numId w:val="1"/>
              </w:numPr>
              <w:spacing w:line="360" w:lineRule="exact"/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充分体现现代终身教育理念，师资适应能力强，教与学方法及技术先进，教与学过程注重互动性、情境性、体验性，教与学成效显著。</w:t>
            </w:r>
          </w:p>
          <w:p w14:paraId="7A99451C">
            <w:pPr>
              <w:numPr>
                <w:ilvl w:val="0"/>
                <w:numId w:val="1"/>
              </w:numPr>
              <w:spacing w:line="360" w:lineRule="exact"/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学习者参与度、亲和度、满意度、美誉度高。</w:t>
            </w:r>
          </w:p>
        </w:tc>
      </w:tr>
      <w:tr w14:paraId="65659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 w14:paraId="5F48B713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创新性</w:t>
            </w:r>
          </w:p>
        </w:tc>
        <w:tc>
          <w:tcPr>
            <w:tcW w:w="7993" w:type="dxa"/>
          </w:tcPr>
          <w:p w14:paraId="03A437DC">
            <w:pPr>
              <w:spacing w:line="360" w:lineRule="exact"/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1.每个项目至少有1-2个特色鲜明的创新之处。包括：在终身教育理念上创新；在项目开发、运行、共享机制上创新；在教与学方法手段、内容形式上创新；在制度、管理、理论等方面创新等。</w:t>
            </w:r>
          </w:p>
          <w:p w14:paraId="4DFFB23C">
            <w:pPr>
              <w:spacing w:line="360" w:lineRule="exact"/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2.对全市终身教育创新发展具有启发和借鉴作用。</w:t>
            </w:r>
          </w:p>
        </w:tc>
      </w:tr>
      <w:tr w14:paraId="7FAD3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 w14:paraId="04F6DBB0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引领性</w:t>
            </w:r>
          </w:p>
        </w:tc>
        <w:tc>
          <w:tcPr>
            <w:tcW w:w="7993" w:type="dxa"/>
          </w:tcPr>
          <w:p w14:paraId="0D56ABA2">
            <w:pPr>
              <w:spacing w:line="360" w:lineRule="exact"/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1</w:t>
            </w:r>
            <w:r>
              <w:rPr>
                <w:rFonts w:ascii="方正仿宋_GBK" w:hAnsi="方正仿宋_GBK" w:eastAsia="方正仿宋_GBK" w:cs="方正仿宋_GBK"/>
                <w:sz w:val="24"/>
              </w:rPr>
              <w:t>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对各街镇、村居开展社区教育、老年教育等具有辐射带动作用，对全市终身教育优质化与多样化发展具有推进意义。</w:t>
            </w:r>
          </w:p>
          <w:p w14:paraId="51031E46">
            <w:pPr>
              <w:spacing w:line="360" w:lineRule="exact"/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2</w:t>
            </w:r>
            <w:r>
              <w:rPr>
                <w:rFonts w:ascii="方正仿宋_GBK" w:hAnsi="方正仿宋_GBK" w:eastAsia="方正仿宋_GBK" w:cs="方正仿宋_GBK"/>
                <w:sz w:val="24"/>
              </w:rPr>
              <w:t>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形成了可推广可复制的典型案例、经验做法，在市级以上正式期刊报纸上发表；或者在市级及以上媒体或会议交流发言；或被教育部推介。</w:t>
            </w:r>
          </w:p>
        </w:tc>
      </w:tr>
      <w:tr w14:paraId="70FEA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 w14:paraId="32C9C09D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持续性</w:t>
            </w:r>
          </w:p>
        </w:tc>
        <w:tc>
          <w:tcPr>
            <w:tcW w:w="7993" w:type="dxa"/>
          </w:tcPr>
          <w:p w14:paraId="00EF07B4">
            <w:pPr>
              <w:spacing w:line="360" w:lineRule="exac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1</w:t>
            </w:r>
            <w:r>
              <w:rPr>
                <w:rFonts w:ascii="方正仿宋_GBK" w:hAnsi="方正仿宋_GBK" w:eastAsia="方正仿宋_GBK" w:cs="方正仿宋_GBK"/>
                <w:sz w:val="24"/>
              </w:rPr>
              <w:t>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项目须具有良好的基础条件，具有相应的教育（工作）方案、师资团队、课程及配套的资源等，教学评价科学。</w:t>
            </w:r>
          </w:p>
          <w:p w14:paraId="6D072E7F">
            <w:pPr>
              <w:spacing w:line="360" w:lineRule="exac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2</w:t>
            </w:r>
            <w:r>
              <w:rPr>
                <w:rFonts w:ascii="方正仿宋_GBK" w:hAnsi="方正仿宋_GBK" w:eastAsia="方正仿宋_GBK" w:cs="方正仿宋_GBK"/>
                <w:sz w:val="24"/>
              </w:rPr>
              <w:t>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项目教学或实施过程形成闭环并持续改进，须经过2年以上的实践运行。</w:t>
            </w:r>
          </w:p>
          <w:p w14:paraId="478FC17D">
            <w:pPr>
              <w:spacing w:line="360" w:lineRule="exac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3</w:t>
            </w:r>
            <w:r>
              <w:rPr>
                <w:rFonts w:ascii="方正仿宋_GBK" w:hAnsi="方正仿宋_GBK" w:eastAsia="方正仿宋_GBK" w:cs="方正仿宋_GBK"/>
                <w:sz w:val="24"/>
              </w:rPr>
              <w:t>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形成数字化宣传或学习资源，能够提供在线开放共享。</w:t>
            </w:r>
          </w:p>
        </w:tc>
      </w:tr>
      <w:tr w14:paraId="64122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 w14:paraId="746B258B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广泛性</w:t>
            </w:r>
          </w:p>
        </w:tc>
        <w:tc>
          <w:tcPr>
            <w:tcW w:w="7993" w:type="dxa"/>
          </w:tcPr>
          <w:p w14:paraId="4D8C3105">
            <w:pPr>
              <w:spacing w:line="360" w:lineRule="exac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ascii="方正仿宋_GBK" w:hAnsi="方正仿宋_GBK" w:eastAsia="方正仿宋_GBK" w:cs="方正仿宋_GBK"/>
                <w:sz w:val="24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项目受益面广，面向老年人、青少年、产业工人等特定人群的建设项目教育（培训）1000人次/年以上，广泛面向社会的建设项目教育（培训）3000人次/年以上。</w:t>
            </w:r>
          </w:p>
          <w:p w14:paraId="16415979">
            <w:pPr>
              <w:spacing w:line="360" w:lineRule="exac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ascii="方正仿宋_GBK" w:hAnsi="方正仿宋_GBK" w:eastAsia="方正仿宋_GBK" w:cs="方正仿宋_GBK"/>
                <w:sz w:val="24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社会声誉好，服务对象满意度高。</w:t>
            </w:r>
          </w:p>
        </w:tc>
      </w:tr>
      <w:tr w14:paraId="12A27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 w14:paraId="26E76206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规范性</w:t>
            </w:r>
          </w:p>
        </w:tc>
        <w:tc>
          <w:tcPr>
            <w:tcW w:w="7993" w:type="dxa"/>
          </w:tcPr>
          <w:p w14:paraId="15A85933">
            <w:pPr>
              <w:spacing w:line="360" w:lineRule="exac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1</w:t>
            </w:r>
            <w:r>
              <w:rPr>
                <w:rFonts w:ascii="方正仿宋_GBK" w:hAnsi="方正仿宋_GBK" w:eastAsia="方正仿宋_GBK" w:cs="方正仿宋_GBK"/>
                <w:sz w:val="24"/>
              </w:rPr>
              <w:t>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组织管理架构成熟，配备一支素质较高、结构合理的师资队伍、管理队伍或志愿者队伍，责任分工明确。</w:t>
            </w:r>
          </w:p>
          <w:p w14:paraId="7672A4E8">
            <w:pPr>
              <w:spacing w:line="360" w:lineRule="exac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ascii="方正仿宋_GBK" w:hAnsi="方正仿宋_GBK" w:eastAsia="方正仿宋_GBK" w:cs="方正仿宋_GBK"/>
                <w:sz w:val="24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配套管理制度健全，项目组织实施场地设施符合项目要求和安全规范。</w:t>
            </w:r>
          </w:p>
          <w:p w14:paraId="272D5F01">
            <w:pPr>
              <w:spacing w:line="360" w:lineRule="exac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ascii="方正仿宋_GBK" w:hAnsi="方正仿宋_GBK" w:eastAsia="方正仿宋_GBK" w:cs="方正仿宋_GBK"/>
                <w:sz w:val="24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经费保障措施完善，专款专用。</w:t>
            </w:r>
          </w:p>
        </w:tc>
      </w:tr>
    </w:tbl>
    <w:p w14:paraId="2C748760"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317E81"/>
    <w:multiLevelType w:val="singleLevel"/>
    <w:tmpl w:val="DC317E8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FA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2024-12-10T01:25:25Z</dcterms:created>
  <dc:creator>Administrator</dc:creator>
  <cp:lastModifiedBy>潇淼</cp:lastModifiedBy>
  <dcterms:modified xsi:type="dcterms:W3CDTF">2024-12-10T01:25:47Z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242D8BFF28314F78B88592B3B432CE0B_12</vt:lpwstr>
  </property>
</Properties>
</file>